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B9" w:rsidRPr="00BA17B9" w:rsidRDefault="00BA17B9" w:rsidP="00BA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A17B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Jernej Štromajer</w:t>
      </w:r>
    </w:p>
    <w:p w:rsidR="007E1B47" w:rsidRPr="00BA17B9" w:rsidRDefault="00113E5D" w:rsidP="004D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 w:rsidRPr="00BA17B9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>Tudi v ZDA zadruge niso nič nenavadnega</w:t>
      </w:r>
    </w:p>
    <w:p w:rsidR="00113E5D" w:rsidRPr="00BA17B9" w:rsidRDefault="00113E5D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</w:pPr>
      <w:r w:rsidRPr="00BA17B9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>Začetki razvoja zadružništva v ZDA segajo v 18. stoletje in odraža</w:t>
      </w:r>
      <w:r w:rsidR="00356F41" w:rsidRPr="00BA17B9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>jo</w:t>
      </w:r>
      <w:r w:rsidRPr="00BA17B9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 xml:space="preserve"> tako evropski vpliv prvih priseljencev kot osnovno potrebo ljudi po sodelovanju za reševanje skupnih problemov. </w:t>
      </w:r>
    </w:p>
    <w:p w:rsidR="00BA17B9" w:rsidRDefault="00BA17B9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</w:pPr>
    </w:p>
    <w:p w:rsidR="004636C0" w:rsidRPr="004636C0" w:rsidRDefault="004636C0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636C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Zgodovinski razvoj</w:t>
      </w:r>
    </w:p>
    <w:p w:rsidR="004636C0" w:rsidRPr="004636C0" w:rsidRDefault="004636C0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F571E" w:rsidRDefault="00113E5D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Medtem ko začetke zadružništva na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Slovenskem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najdemo v sredini 19. stoletja, pa je </w:t>
      </w:r>
      <w:r w:rsidRPr="00147A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prvo zadružno podjetje v ZDA nastalo že leta 1752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prvo priznano zadrugo v ZDA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velja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Philadelphia Contributionship, ki je nastala kot vzajemna protipožarna zavarovalnic</w:t>
      </w:r>
      <w:r w:rsidR="003F571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in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na področju zavarovalništva deluje še danes. Njen ustanovitelj je bil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Benjamin Franklin,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eden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ameriških ustanovnih očetov,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čigar obraz krasi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bankov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ec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100 ameriških dolarjev. </w:t>
      </w:r>
    </w:p>
    <w:p w:rsidR="00147A1F" w:rsidRPr="00BA17B9" w:rsidRDefault="00147A1F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2DC2" w:rsidRDefault="00113E5D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Kasneje so se začele razvijati </w:t>
      </w:r>
      <w:r w:rsidRPr="00147A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razne druge zad</w:t>
      </w:r>
      <w:r w:rsidR="003F571E" w:rsidRPr="00147A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ruge</w:t>
      </w:r>
      <w:r w:rsidR="003F571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, predvsem lokalnega pomena, ki so se razvile najprej na podeželju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Do </w:t>
      </w:r>
      <w:r w:rsidR="003F571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leta 1866 so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bile </w:t>
      </w:r>
      <w:r w:rsidR="003F571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(predvsem potrošniške) zadruge prisotne v vseh pomembnejših ameriških industrijskih mestih.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ameriški državljanski vojni </w:t>
      </w:r>
      <w:r w:rsidR="003F571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 se ljudje začeli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povezovati predvsem z željo, da se </w:t>
      </w:r>
      <w:r w:rsidR="003F571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pomočjo zadružništva povežejo pridelovalci in predelovalci ter da vzpostavijo neposreden kontakt (brez posrednikov) s </w:t>
      </w:r>
      <w:r w:rsidR="00E8122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kupci (potrošniki)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8122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Tako</w:t>
      </w:r>
      <w:r w:rsidR="00E8122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se razvile različne organizacije (Order of the Patrons of Husbandry, The Farmers' Alliance, Society of Equity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8122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…), ki so bile različno uspešne in so se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obdržale </w:t>
      </w:r>
      <w:r w:rsidR="00E8122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različno dolgo. </w:t>
      </w:r>
      <w:r w:rsidR="00CE17F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Zanimanje za zadruge se je ob prelomu stoletja še dodatno okrepilo predvsem kot odgovor na prakse monopolov, ki so bili videni kot eksces kapitalizma. </w:t>
      </w:r>
      <w:r w:rsidR="008270A8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Mnogi so zadruge videli kot </w:t>
      </w:r>
      <w:r w:rsidR="00356F41" w:rsidRPr="00147A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sredstvo za </w:t>
      </w:r>
      <w:r w:rsidR="008270A8" w:rsidRPr="00147A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bolj družbeno odgovorno ekonomijo</w:t>
      </w:r>
      <w:r w:rsidR="008270A8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47A1F" w:rsidRPr="00BA17B9" w:rsidRDefault="00147A1F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3E5D" w:rsidRDefault="00566FD0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Tudi zato</w:t>
      </w:r>
      <w:r w:rsidR="008270A8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leta 1916 nastalo združenje The Cooperative League of the United States of America (CLUSA), 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ki ga danes poznamo po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imenom </w:t>
      </w:r>
      <w:r w:rsidR="001551F1" w:rsidRPr="00147A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National Cooperative Business Association (NCBA)</w:t>
      </w:r>
      <w:r w:rsidR="003A7BDA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A7BDA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 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članska organizacija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nastala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namenom širitve zadružnega modela, </w:t>
      </w:r>
      <w:r w:rsidR="003A7BDA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danes 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deluje na področju razvoja zadružništva in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zagovorništva 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interesov zadrug v ZDA ter za njih lobira pri različnih odločevalcih (npr.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ameriškem 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kongres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1551F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147A1F" w:rsidRPr="00BA17B9" w:rsidRDefault="00147A1F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6FD0" w:rsidRDefault="00566FD0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Velika gospodarska kriza oz. velika depresija, ki se je pričela leta 1929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povzročila dodatno </w:t>
      </w:r>
      <w:r w:rsidRPr="00147A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podporo razvoju zadrug s strani zvezne oblasti v ZDA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. Tako je nastala podlaga za nastanek finančnih zadrug (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angl. </w:t>
      </w:r>
      <w:r w:rsidRPr="00BA17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credit unions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na zvezni ravni,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hkrati pa so bile oblikovane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določene druge spodbude za razvoj predvsem kmetijskih zadrug na podeželju (elektrifikacija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). Dodatne spodbude</w:t>
      </w:r>
      <w:r w:rsidR="00D23AB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področju zadružništva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so prinesle</w:t>
      </w:r>
      <w:r w:rsidR="00D23AB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politik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D23AB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programa New </w:t>
      </w:r>
      <w:r w:rsidR="0045191F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D23AB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eal. </w:t>
      </w:r>
    </w:p>
    <w:p w:rsidR="00147A1F" w:rsidRPr="00BA17B9" w:rsidRDefault="00147A1F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7A1F" w:rsidRDefault="00895AEC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drugi svetovni vojni so bile zadruge deležne </w:t>
      </w:r>
      <w:r w:rsidR="00505B9C">
        <w:rPr>
          <w:rFonts w:ascii="Times New Roman" w:eastAsia="Times New Roman" w:hAnsi="Times New Roman" w:cs="Times New Roman"/>
          <w:sz w:val="24"/>
          <w:szCs w:val="24"/>
          <w:lang w:eastAsia="sl-SI"/>
        </w:rPr>
        <w:t>manjše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podpore s strani zvezne politike. </w:t>
      </w:r>
      <w:r w:rsidR="00CC326B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Razvile so se predvsem potrošniške zadruge v kmetijskem sektorju, zadruge pa so se povez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ov</w:t>
      </w:r>
      <w:r w:rsidR="00CC326B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ale v manjše število večjih zadrug. Dodatno so se kasneje razvile potrošniške zadruge, ki so nudile organsko in ekološko pridelano hrano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r w:rsidR="00CC326B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čeprav jih veliko ni preživelo, pa imajo nekatere še danes velik vpliv na omenjenem tržišču. </w:t>
      </w:r>
    </w:p>
    <w:p w:rsidR="00505B9C" w:rsidRDefault="00505B9C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36C0" w:rsidRPr="004636C0" w:rsidRDefault="004636C0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636C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Zadruge v ZDA danes</w:t>
      </w:r>
    </w:p>
    <w:p w:rsidR="004636C0" w:rsidRPr="00BA17B9" w:rsidRDefault="004636C0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5B9C" w:rsidRDefault="00FD7066" w:rsidP="005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ZDA imajo po aktualnih podatkih zadruge </w:t>
      </w:r>
      <w:r w:rsidRPr="00E426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več kot 350 milijonov članov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(ena oseba </w:t>
      </w:r>
      <w:r w:rsidR="00356F41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seveda lahko članica več različnih zadrug), od tega je 340 milijonov članov različnih potrošniških zadrug. P</w:t>
      </w:r>
      <w:r w:rsidR="007C128C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odatki kažejo, da trenutno v ZDA deluje </w:t>
      </w:r>
      <w:r w:rsidR="00F0230A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okoli</w:t>
      </w:r>
      <w:r w:rsidR="007C128C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C128C" w:rsidRPr="00E426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30.000 zadrug</w:t>
      </w:r>
      <w:r w:rsidR="007C128C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, ki poslujejo na več kot 73.000 lokacijah po celotni državi. Te zadruge imajo v lasti več kot 3</w:t>
      </w:r>
      <w:r w:rsidR="00E6407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.000 milijard</w:t>
      </w:r>
      <w:r w:rsidR="007C128C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6407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dolarjev premoženja, letno ustvarijo 500 milijard dolarjev </w:t>
      </w:r>
      <w:r w:rsidR="006456EC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prihodkov </w:t>
      </w:r>
      <w:r w:rsidR="00E6407E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in izplačajo za 25 milijard dolarjev plač.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0230A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njih je zaposlenih </w:t>
      </w:r>
      <w:r w:rsidR="00F0230A" w:rsidRPr="00E426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več kot 850 tisoč ljudi</w:t>
      </w:r>
      <w:r w:rsidR="00F0230A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05B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Posebej velja omeniti, da je med njimi tudi </w:t>
      </w:r>
      <w:r w:rsidR="00505B9C" w:rsidRPr="00E426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223 t. i. delavskih zadrug</w:t>
      </w:r>
      <w:r w:rsidR="00505B9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05B9C" w:rsidRDefault="00505B9C" w:rsidP="0050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B9C" w:rsidRPr="00505B9C" w:rsidRDefault="00505B9C" w:rsidP="005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B9C">
        <w:rPr>
          <w:rFonts w:ascii="Times New Roman" w:hAnsi="Times New Roman" w:cs="Times New Roman"/>
          <w:b/>
          <w:i/>
          <w:sz w:val="24"/>
          <w:szCs w:val="24"/>
        </w:rPr>
        <w:t>Tabela 1</w:t>
      </w:r>
      <w:r w:rsidRPr="00505B9C">
        <w:rPr>
          <w:rFonts w:ascii="Times New Roman" w:hAnsi="Times New Roman" w:cs="Times New Roman"/>
          <w:i/>
          <w:sz w:val="24"/>
          <w:szCs w:val="24"/>
        </w:rPr>
        <w:t>: Ekonomski podatki o zadrugah v ZDA.</w:t>
      </w:r>
    </w:p>
    <w:p w:rsidR="00147A1F" w:rsidRDefault="00147A1F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15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807"/>
        <w:gridCol w:w="1691"/>
        <w:gridCol w:w="987"/>
        <w:gridCol w:w="146"/>
        <w:gridCol w:w="1310"/>
        <w:gridCol w:w="1714"/>
      </w:tblGrid>
      <w:tr w:rsidR="00CC2F5B" w:rsidRPr="00BA17B9" w:rsidTr="00E42615">
        <w:trPr>
          <w:trHeight w:val="900"/>
        </w:trPr>
        <w:tc>
          <w:tcPr>
            <w:tcW w:w="1535" w:type="dxa"/>
            <w:tcBorders>
              <w:bottom w:val="single" w:sz="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l-SI"/>
              </w:rPr>
              <w:t>VRSTA ZADRUGE</w:t>
            </w:r>
          </w:p>
        </w:tc>
        <w:tc>
          <w:tcPr>
            <w:tcW w:w="1790" w:type="dxa"/>
            <w:tcBorders>
              <w:bottom w:val="single" w:sz="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PREMOŽENJE</w:t>
            </w:r>
          </w:p>
        </w:tc>
        <w:tc>
          <w:tcPr>
            <w:tcW w:w="1691" w:type="dxa"/>
            <w:tcBorders>
              <w:bottom w:val="single" w:sz="2" w:space="0" w:color="auto"/>
            </w:tcBorders>
            <w:shd w:val="clear" w:color="auto" w:fill="000000" w:themeFill="text1"/>
            <w:vAlign w:val="center"/>
            <w:hideMark/>
          </w:tcPr>
          <w:p w:rsidR="00CC2F5B" w:rsidRPr="00BA17B9" w:rsidRDefault="006456EC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PRIHODKI</w:t>
            </w:r>
          </w:p>
        </w:tc>
        <w:tc>
          <w:tcPr>
            <w:tcW w:w="987" w:type="dxa"/>
            <w:tcBorders>
              <w:bottom w:val="single" w:sz="2" w:space="0" w:color="auto"/>
            </w:tcBorders>
            <w:shd w:val="clear" w:color="auto" w:fill="000000" w:themeFill="text1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PLAČE</w:t>
            </w:r>
          </w:p>
        </w:tc>
        <w:tc>
          <w:tcPr>
            <w:tcW w:w="146" w:type="dxa"/>
            <w:tcBorders>
              <w:bottom w:val="single" w:sz="2" w:space="0" w:color="auto"/>
            </w:tcBorders>
            <w:shd w:val="clear" w:color="auto" w:fill="000000" w:themeFill="text1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  <w:tcBorders>
              <w:bottom w:val="single" w:sz="2" w:space="0" w:color="auto"/>
            </w:tcBorders>
            <w:shd w:val="clear" w:color="auto" w:fill="000000" w:themeFill="text1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ŠT. ZADRUG</w:t>
            </w:r>
          </w:p>
        </w:tc>
        <w:tc>
          <w:tcPr>
            <w:tcW w:w="1698" w:type="dxa"/>
            <w:tcBorders>
              <w:bottom w:val="single" w:sz="2" w:space="0" w:color="auto"/>
            </w:tcBorders>
            <w:shd w:val="clear" w:color="auto" w:fill="000000" w:themeFill="text1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ŠT. ZAPOSLENIH (V TISOČIH)</w:t>
            </w:r>
          </w:p>
        </w:tc>
      </w:tr>
      <w:tr w:rsidR="00CC2F5B" w:rsidRPr="00BA17B9" w:rsidTr="00E42615">
        <w:trPr>
          <w:trHeight w:val="300"/>
        </w:trPr>
        <w:tc>
          <w:tcPr>
            <w:tcW w:w="153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C2F5B" w:rsidRPr="00BA17B9" w:rsidRDefault="00CC2F5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468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(v milijonih dolarjev)</w:t>
            </w:r>
          </w:p>
        </w:tc>
        <w:tc>
          <w:tcPr>
            <w:tcW w:w="14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CC2F5B" w:rsidRPr="00BA17B9" w:rsidTr="00E42615">
        <w:trPr>
          <w:trHeight w:val="360"/>
        </w:trPr>
        <w:tc>
          <w:tcPr>
            <w:tcW w:w="153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2F5B" w:rsidRPr="00BA17B9" w:rsidRDefault="002C22A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Delavske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128</w:t>
            </w:r>
          </w:p>
        </w:tc>
        <w:tc>
          <w:tcPr>
            <w:tcW w:w="169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219,24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55,41</w:t>
            </w:r>
          </w:p>
        </w:tc>
        <w:tc>
          <w:tcPr>
            <w:tcW w:w="14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223</w:t>
            </w:r>
          </w:p>
        </w:tc>
        <w:tc>
          <w:tcPr>
            <w:tcW w:w="169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2,38</w:t>
            </w:r>
          </w:p>
        </w:tc>
      </w:tr>
      <w:tr w:rsidR="00CC2F5B" w:rsidRPr="00BA17B9" w:rsidTr="00E42615">
        <w:trPr>
          <w:trHeight w:val="360"/>
        </w:trPr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CC2F5B" w:rsidRPr="00BA17B9" w:rsidRDefault="002C22A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Proizvajalske</w:t>
            </w:r>
            <w:r w:rsidR="00CC2F5B"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23.632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65.426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2.970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1.494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72,93</w:t>
            </w:r>
          </w:p>
        </w:tc>
      </w:tr>
      <w:tr w:rsidR="00CC2F5B" w:rsidRPr="00BA17B9" w:rsidTr="00E42615">
        <w:trPr>
          <w:trHeight w:val="330"/>
        </w:trPr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CC2F5B" w:rsidRPr="00BA17B9" w:rsidRDefault="002C22A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Nakupovalne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1.126.848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157.892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2.902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724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130,35</w:t>
            </w:r>
          </w:p>
        </w:tc>
      </w:tr>
      <w:tr w:rsidR="00CC2F5B" w:rsidRPr="00BA17B9" w:rsidTr="00E42615">
        <w:trPr>
          <w:trHeight w:val="300"/>
        </w:trPr>
        <w:tc>
          <w:tcPr>
            <w:tcW w:w="153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2F5B" w:rsidRPr="00BA17B9" w:rsidRDefault="002C22A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Potrošniške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1.975.805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291.086</w:t>
            </w:r>
          </w:p>
        </w:tc>
        <w:tc>
          <w:tcPr>
            <w:tcW w:w="98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19.085</w:t>
            </w:r>
          </w:p>
        </w:tc>
        <w:tc>
          <w:tcPr>
            <w:tcW w:w="14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26.844</w:t>
            </w:r>
          </w:p>
        </w:tc>
        <w:tc>
          <w:tcPr>
            <w:tcW w:w="169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650,65</w:t>
            </w:r>
          </w:p>
        </w:tc>
      </w:tr>
      <w:tr w:rsidR="00CC2F5B" w:rsidRPr="00BA17B9" w:rsidTr="00E42615">
        <w:trPr>
          <w:trHeight w:val="300"/>
        </w:trPr>
        <w:tc>
          <w:tcPr>
            <w:tcW w:w="153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3.126.414</w:t>
            </w:r>
          </w:p>
        </w:tc>
        <w:tc>
          <w:tcPr>
            <w:tcW w:w="169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514.624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25.013</w:t>
            </w:r>
          </w:p>
        </w:tc>
        <w:tc>
          <w:tcPr>
            <w:tcW w:w="14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29.285</w:t>
            </w:r>
          </w:p>
        </w:tc>
        <w:tc>
          <w:tcPr>
            <w:tcW w:w="169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2F5B" w:rsidRPr="00BA17B9" w:rsidRDefault="00CC2F5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856,31</w:t>
            </w:r>
          </w:p>
        </w:tc>
      </w:tr>
    </w:tbl>
    <w:p w:rsidR="00505B9C" w:rsidRDefault="00505B9C" w:rsidP="00BA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A1F" w:rsidRPr="00BA17B9" w:rsidRDefault="00147A1F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4B" w:rsidRDefault="00053B4B" w:rsidP="00BA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Seveda je vpliv zadrug v ZDA na celotno gospodarstvo še širši, tako z izdatki zadrug kot s potrošnjo tistih, ki </w:t>
      </w:r>
      <w:r w:rsidR="00E4261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naslova zadrug prejemajo plačo ali druge dohodke, kar se pozna v prometu drugih ekonomskih subjektov. University of Wisconsin–Madison (ena </w:t>
      </w:r>
      <w:r w:rsidR="009729F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»elitnih« ameriških javnih univerz, ki so</w:t>
      </w:r>
      <w:r w:rsidR="00E42615"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med t.</w:t>
      </w:r>
      <w:r w:rsidR="009729F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i. </w:t>
      </w:r>
      <w:r w:rsidRPr="00BA17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Public Ivy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) ocenjuje, da skupni ekonomski vpliv (</w:t>
      </w:r>
      <w:r w:rsidR="009729F3"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>angl.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A17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economic impact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zadrug na ekonomijo ZDA znaša 654 milijard dolarjev prometa, da zadruge v ZDA ustvarijo </w:t>
      </w:r>
      <w:r w:rsidRPr="00E426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več kot dva milijona delovnih mest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je zaradi njih izplačanih 75 milijard dolarjev plač in dodatkov ter za 133,5 milijard</w:t>
      </w:r>
      <w:r w:rsidR="000A2DF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BA17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dolarjev dodane vrednosti.</w:t>
      </w:r>
    </w:p>
    <w:p w:rsidR="00505B9C" w:rsidRDefault="00505B9C" w:rsidP="00505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B9C" w:rsidRPr="00505B9C" w:rsidRDefault="00505B9C" w:rsidP="005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B9C">
        <w:rPr>
          <w:rFonts w:ascii="Times New Roman" w:hAnsi="Times New Roman" w:cs="Times New Roman"/>
          <w:b/>
          <w:i/>
          <w:sz w:val="24"/>
          <w:szCs w:val="24"/>
        </w:rPr>
        <w:t>Tabela 2</w:t>
      </w:r>
      <w:r w:rsidRPr="00505B9C">
        <w:rPr>
          <w:rFonts w:ascii="Times New Roman" w:hAnsi="Times New Roman" w:cs="Times New Roman"/>
          <w:i/>
          <w:sz w:val="24"/>
          <w:szCs w:val="24"/>
        </w:rPr>
        <w:t>: Ekonomski vpliv (angl. economic impact) zadrug v ZDA.</w:t>
      </w:r>
    </w:p>
    <w:p w:rsidR="00147A1F" w:rsidRPr="00BA17B9" w:rsidRDefault="00147A1F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1593"/>
        <w:gridCol w:w="1334"/>
        <w:gridCol w:w="539"/>
        <w:gridCol w:w="1670"/>
      </w:tblGrid>
      <w:tr w:rsidR="00517223" w:rsidRPr="00BA17B9" w:rsidTr="00517223">
        <w:trPr>
          <w:trHeight w:val="600"/>
        </w:trPr>
        <w:tc>
          <w:tcPr>
            <w:tcW w:w="3951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SEKTOR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517223" w:rsidRPr="00BA17B9" w:rsidRDefault="006456EC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PRIHODKI</w:t>
            </w:r>
          </w:p>
        </w:tc>
        <w:tc>
          <w:tcPr>
            <w:tcW w:w="1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PLAČE</w:t>
            </w:r>
          </w:p>
        </w:tc>
        <w:tc>
          <w:tcPr>
            <w:tcW w:w="53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DELOVNA MESTA</w:t>
            </w:r>
          </w:p>
        </w:tc>
      </w:tr>
      <w:tr w:rsidR="00517223" w:rsidRPr="00BA17B9" w:rsidTr="00517223">
        <w:trPr>
          <w:trHeight w:val="300"/>
        </w:trPr>
        <w:tc>
          <w:tcPr>
            <w:tcW w:w="395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53B4B" w:rsidRPr="00BA17B9" w:rsidRDefault="00053B4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FFFFFF" w:themeColor="background1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53B4B" w:rsidRPr="00BA17B9" w:rsidRDefault="00053B4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(</w:t>
            </w:r>
            <w:r w:rsidR="00AA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v </w:t>
            </w:r>
            <w:r w:rsidRPr="00BA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milijoni</w:t>
            </w:r>
            <w:r w:rsidR="00AA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h</w:t>
            </w:r>
            <w:r w:rsidRPr="00BA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dolarjev)</w:t>
            </w: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53B4B" w:rsidRPr="00BA17B9" w:rsidRDefault="00053B4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53B4B" w:rsidRPr="00BA17B9" w:rsidRDefault="00053B4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517223" w:rsidRPr="00BA17B9" w:rsidTr="00517223">
        <w:trPr>
          <w:trHeight w:val="515"/>
        </w:trPr>
        <w:tc>
          <w:tcPr>
            <w:tcW w:w="395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Kmetijske in potrošniške zadruge idr.</w:t>
            </w:r>
          </w:p>
        </w:tc>
        <w:tc>
          <w:tcPr>
            <w:tcW w:w="159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201.207</w:t>
            </w:r>
          </w:p>
        </w:tc>
        <w:tc>
          <w:tcPr>
            <w:tcW w:w="13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1.381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7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422.505</w:t>
            </w:r>
          </w:p>
        </w:tc>
      </w:tr>
      <w:tr w:rsidR="00517223" w:rsidRPr="00BA17B9" w:rsidTr="00517223">
        <w:trPr>
          <w:trHeight w:val="481"/>
        </w:trPr>
        <w:tc>
          <w:tcPr>
            <w:tcW w:w="3951" w:type="dxa"/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Socialne storitve in </w:t>
            </w:r>
            <w:r w:rsidR="009729F3" w:rsidRPr="00BA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javne službe </w:t>
            </w:r>
            <w:r w:rsidRPr="00BA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(zdravstvo, šolstvo, varstvo otrok)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7.525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169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424.505</w:t>
            </w:r>
          </w:p>
        </w:tc>
      </w:tr>
      <w:tr w:rsidR="00517223" w:rsidRPr="00BA17B9" w:rsidTr="00517223">
        <w:trPr>
          <w:trHeight w:val="600"/>
        </w:trPr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Finančne storitve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394.363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51.176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1.133.353</w:t>
            </w:r>
          </w:p>
        </w:tc>
      </w:tr>
      <w:tr w:rsidR="00517223" w:rsidRPr="00BA17B9" w:rsidTr="00517223">
        <w:trPr>
          <w:trHeight w:val="350"/>
        </w:trPr>
        <w:tc>
          <w:tcPr>
            <w:tcW w:w="395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Javne dobrine (voda, elektrika, telekomunikacije)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49.808</w:t>
            </w:r>
          </w:p>
        </w:tc>
        <w:tc>
          <w:tcPr>
            <w:tcW w:w="13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8.292</w:t>
            </w: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7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17223" w:rsidRPr="00BA17B9" w:rsidRDefault="00517223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162.873</w:t>
            </w:r>
          </w:p>
        </w:tc>
      </w:tr>
      <w:tr w:rsidR="008A6EF0" w:rsidRPr="00BA17B9" w:rsidTr="005E0AAD">
        <w:trPr>
          <w:trHeight w:val="300"/>
        </w:trPr>
        <w:tc>
          <w:tcPr>
            <w:tcW w:w="395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A6EF0" w:rsidRPr="00BA17B9" w:rsidRDefault="008A6EF0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59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A6EF0" w:rsidRPr="00BA17B9" w:rsidRDefault="008A6EF0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652.903</w:t>
            </w:r>
          </w:p>
        </w:tc>
        <w:tc>
          <w:tcPr>
            <w:tcW w:w="13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6EF0" w:rsidRPr="00BA17B9" w:rsidRDefault="008A6EF0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74.969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A6EF0" w:rsidRPr="00BA17B9" w:rsidRDefault="008A6EF0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7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A6EF0" w:rsidRPr="00BA17B9" w:rsidRDefault="008A6EF0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2.143.236</w:t>
            </w:r>
          </w:p>
        </w:tc>
      </w:tr>
    </w:tbl>
    <w:p w:rsidR="00147A1F" w:rsidRDefault="00147A1F" w:rsidP="00BA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A1F" w:rsidRPr="00BA17B9" w:rsidRDefault="00147A1F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C0" w:rsidRDefault="004636C0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C0" w:rsidRDefault="004636C0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C0" w:rsidRPr="004636C0" w:rsidRDefault="004636C0" w:rsidP="00BA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C0">
        <w:rPr>
          <w:rFonts w:ascii="Times New Roman" w:hAnsi="Times New Roman" w:cs="Times New Roman"/>
          <w:b/>
          <w:sz w:val="24"/>
          <w:szCs w:val="24"/>
        </w:rPr>
        <w:t>Primerjave s Slovenijo</w:t>
      </w:r>
    </w:p>
    <w:p w:rsidR="004636C0" w:rsidRDefault="004636C0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C6" w:rsidRDefault="009729F3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9">
        <w:rPr>
          <w:rFonts w:ascii="Times New Roman" w:hAnsi="Times New Roman" w:cs="Times New Roman"/>
          <w:sz w:val="24"/>
          <w:szCs w:val="24"/>
        </w:rPr>
        <w:t xml:space="preserve">Za primerjavo: v </w:t>
      </w:r>
      <w:r w:rsidR="00157B3B" w:rsidRPr="00BA17B9">
        <w:rPr>
          <w:rFonts w:ascii="Times New Roman" w:hAnsi="Times New Roman" w:cs="Times New Roman"/>
          <w:sz w:val="24"/>
          <w:szCs w:val="24"/>
        </w:rPr>
        <w:t xml:space="preserve">Slovenji </w:t>
      </w:r>
      <w:r w:rsidR="002D0DF9" w:rsidRPr="00BA17B9">
        <w:rPr>
          <w:rFonts w:ascii="Times New Roman" w:hAnsi="Times New Roman" w:cs="Times New Roman"/>
          <w:sz w:val="24"/>
          <w:szCs w:val="24"/>
        </w:rPr>
        <w:t xml:space="preserve">je </w:t>
      </w:r>
      <w:r w:rsidR="00157B3B" w:rsidRPr="00BA17B9">
        <w:rPr>
          <w:rFonts w:ascii="Times New Roman" w:hAnsi="Times New Roman" w:cs="Times New Roman"/>
          <w:sz w:val="24"/>
          <w:szCs w:val="24"/>
        </w:rPr>
        <w:t xml:space="preserve">za primerjavo </w:t>
      </w:r>
      <w:r w:rsidR="008B2BC6" w:rsidRPr="00BA17B9">
        <w:rPr>
          <w:rFonts w:ascii="Times New Roman" w:hAnsi="Times New Roman" w:cs="Times New Roman"/>
          <w:sz w:val="24"/>
          <w:szCs w:val="24"/>
        </w:rPr>
        <w:t xml:space="preserve">po podatkih AJPES za leto 2013 registriranih </w:t>
      </w:r>
      <w:r w:rsidR="008B2BC6" w:rsidRPr="00505B9C">
        <w:rPr>
          <w:rFonts w:ascii="Times New Roman" w:hAnsi="Times New Roman" w:cs="Times New Roman"/>
          <w:b/>
          <w:sz w:val="24"/>
          <w:szCs w:val="24"/>
        </w:rPr>
        <w:t>311 zadrug</w:t>
      </w:r>
      <w:r w:rsidR="008B2BC6" w:rsidRPr="00BA17B9">
        <w:rPr>
          <w:rFonts w:ascii="Times New Roman" w:hAnsi="Times New Roman" w:cs="Times New Roman"/>
          <w:sz w:val="24"/>
          <w:szCs w:val="24"/>
        </w:rPr>
        <w:t xml:space="preserve">, ki zaposlujejo 3.203 ljudi in so v letu </w:t>
      </w:r>
      <w:r w:rsidR="00EB7A75">
        <w:rPr>
          <w:rFonts w:ascii="Times New Roman" w:hAnsi="Times New Roman" w:cs="Times New Roman"/>
          <w:sz w:val="24"/>
          <w:szCs w:val="24"/>
        </w:rPr>
        <w:t xml:space="preserve">2013 </w:t>
      </w:r>
      <w:r w:rsidRPr="00BA17B9">
        <w:rPr>
          <w:rFonts w:ascii="Times New Roman" w:hAnsi="Times New Roman" w:cs="Times New Roman"/>
          <w:sz w:val="24"/>
          <w:szCs w:val="24"/>
        </w:rPr>
        <w:t xml:space="preserve">ustvarile </w:t>
      </w:r>
      <w:r w:rsidR="008B2BC6" w:rsidRPr="00BA17B9">
        <w:rPr>
          <w:rFonts w:ascii="Times New Roman" w:hAnsi="Times New Roman" w:cs="Times New Roman"/>
          <w:sz w:val="24"/>
          <w:szCs w:val="24"/>
        </w:rPr>
        <w:t>811.387 tisoč evrov prihodkov in 812.031 tisoč evrov odhodkov ter neto dodano vrednost v višini 79.152 tisoč evrov.</w:t>
      </w:r>
      <w:r w:rsidR="0094493E" w:rsidRPr="00BA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1F" w:rsidRDefault="00147A1F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9C" w:rsidRPr="00505B9C" w:rsidRDefault="00505B9C" w:rsidP="00505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B9C">
        <w:rPr>
          <w:rFonts w:ascii="Times New Roman" w:hAnsi="Times New Roman" w:cs="Times New Roman"/>
          <w:b/>
          <w:i/>
          <w:sz w:val="24"/>
          <w:szCs w:val="24"/>
        </w:rPr>
        <w:t>Tabela 3</w:t>
      </w:r>
      <w:r w:rsidRPr="00505B9C">
        <w:rPr>
          <w:rFonts w:ascii="Times New Roman" w:hAnsi="Times New Roman" w:cs="Times New Roman"/>
          <w:i/>
          <w:sz w:val="24"/>
          <w:szCs w:val="24"/>
        </w:rPr>
        <w:t>: Podatki AJPES o zadrugah v Sloveniji v letu 2013.</w:t>
      </w:r>
    </w:p>
    <w:p w:rsidR="00505B9C" w:rsidRPr="00BA17B9" w:rsidRDefault="00505B9C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1418"/>
        <w:gridCol w:w="1701"/>
        <w:gridCol w:w="1842"/>
      </w:tblGrid>
      <w:tr w:rsidR="00157B3B" w:rsidRPr="00BA17B9" w:rsidTr="008B2BC6">
        <w:trPr>
          <w:trHeight w:val="76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  <w:t>SEKTOR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  <w:t>ŠTEVILO ZADRUG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  <w:t>ŠTEVILO ZAPOSLENIH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  <w:t xml:space="preserve">PRIHODKI </w:t>
            </w:r>
            <w:r w:rsidR="002D4A96" w:rsidRPr="00BA17B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  <w:br/>
            </w:r>
            <w:r w:rsidRPr="00BA17B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GB" w:eastAsia="sl-SI"/>
              </w:rPr>
              <w:t>(V TISOČ €)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Kmetijstvo in lov, gozdarstvo, ribištvo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104.155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Predelovalne dejavnosti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32.920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Oskrba z električno energijo, plinom in paro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A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Oskrba z vodo, ravnanje z odplakami in odpadki, saniranje </w:t>
            </w:r>
            <w:r w:rsidR="00A96A8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</w:t>
            </w: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181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Gradbeništvo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6.046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Trgovina, vzdrževanje in popravila motornih vozil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2.428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652.469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Promet in skladiščenje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3.226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Gostinstvo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180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Informacijske  in komunikacijske dejavnosti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150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Finančne in zavarovalniške dejavnosti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8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Poslovanje z nepremičninami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3.806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Strokovne, znanstvene in tehnične dejavnosti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3.610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Druge raznovrstne poslovne dejavnosti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144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Dejavnost javne uprave in obrambe, dejavnost obvezne socialne varnosti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481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Izobraževanje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0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Zdravstvo in socialno varstvo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65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hAnsi="Times New Roman" w:cs="Times New Roman"/>
                <w:sz w:val="24"/>
                <w:szCs w:val="24"/>
              </w:rPr>
              <w:t>Druge dejavnosti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3.947</w:t>
            </w:r>
          </w:p>
        </w:tc>
      </w:tr>
      <w:tr w:rsidR="00157B3B" w:rsidRPr="00BA17B9" w:rsidTr="008B2BC6">
        <w:trPr>
          <w:trHeight w:val="300"/>
        </w:trPr>
        <w:tc>
          <w:tcPr>
            <w:tcW w:w="41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311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3.203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3B" w:rsidRPr="00BA17B9" w:rsidRDefault="00157B3B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811.38</w:t>
            </w:r>
            <w:r w:rsidR="00FE5B31" w:rsidRPr="00BA1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7</w:t>
            </w:r>
          </w:p>
        </w:tc>
      </w:tr>
    </w:tbl>
    <w:p w:rsidR="00505B9C" w:rsidRDefault="00505B9C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BF" w:rsidRDefault="002465BF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9">
        <w:rPr>
          <w:rFonts w:ascii="Times New Roman" w:hAnsi="Times New Roman" w:cs="Times New Roman"/>
          <w:sz w:val="24"/>
          <w:szCs w:val="24"/>
        </w:rPr>
        <w:t xml:space="preserve">Ugotovimo lahko, da skupni promet zadrug v ZDA znaša </w:t>
      </w:r>
      <w:r w:rsidRPr="00505B9C">
        <w:rPr>
          <w:rFonts w:ascii="Times New Roman" w:hAnsi="Times New Roman" w:cs="Times New Roman"/>
          <w:b/>
          <w:sz w:val="24"/>
          <w:szCs w:val="24"/>
        </w:rPr>
        <w:t>4,7</w:t>
      </w:r>
      <w:r w:rsidR="00FE5B31" w:rsidRPr="0050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B9C">
        <w:rPr>
          <w:rFonts w:ascii="Times New Roman" w:hAnsi="Times New Roman" w:cs="Times New Roman"/>
          <w:b/>
          <w:sz w:val="24"/>
          <w:szCs w:val="24"/>
        </w:rPr>
        <w:t>% bruto družbenega proizvoda</w:t>
      </w:r>
      <w:r w:rsidRPr="00BA17B9">
        <w:rPr>
          <w:rFonts w:ascii="Times New Roman" w:hAnsi="Times New Roman" w:cs="Times New Roman"/>
          <w:sz w:val="24"/>
          <w:szCs w:val="24"/>
        </w:rPr>
        <w:t xml:space="preserve"> (BDP)</w:t>
      </w:r>
      <w:r w:rsidR="00FE5B31" w:rsidRPr="00BA17B9">
        <w:rPr>
          <w:rFonts w:ascii="Times New Roman" w:hAnsi="Times New Roman" w:cs="Times New Roman"/>
          <w:sz w:val="24"/>
          <w:szCs w:val="24"/>
        </w:rPr>
        <w:t>, kar je več od</w:t>
      </w:r>
      <w:r w:rsidRPr="00BA17B9">
        <w:rPr>
          <w:rFonts w:ascii="Times New Roman" w:hAnsi="Times New Roman" w:cs="Times New Roman"/>
          <w:sz w:val="24"/>
          <w:szCs w:val="24"/>
        </w:rPr>
        <w:t xml:space="preserve"> deleža BDP, ki ga imajo zadruge v Sloveniji (</w:t>
      </w:r>
      <w:r w:rsidR="00F049E1" w:rsidRPr="00BA17B9">
        <w:rPr>
          <w:rFonts w:ascii="Times New Roman" w:hAnsi="Times New Roman" w:cs="Times New Roman"/>
          <w:sz w:val="24"/>
          <w:szCs w:val="24"/>
        </w:rPr>
        <w:t xml:space="preserve">po dostopnih </w:t>
      </w:r>
      <w:r w:rsidR="00111F59" w:rsidRPr="00BA17B9">
        <w:rPr>
          <w:rFonts w:ascii="Times New Roman" w:hAnsi="Times New Roman" w:cs="Times New Roman"/>
          <w:sz w:val="24"/>
          <w:szCs w:val="24"/>
        </w:rPr>
        <w:t xml:space="preserve">podatkih </w:t>
      </w:r>
      <w:r w:rsidR="00F049E1" w:rsidRPr="00BA17B9">
        <w:rPr>
          <w:rFonts w:ascii="Times New Roman" w:hAnsi="Times New Roman" w:cs="Times New Roman"/>
          <w:sz w:val="24"/>
          <w:szCs w:val="24"/>
        </w:rPr>
        <w:t xml:space="preserve">okoli </w:t>
      </w:r>
      <w:r w:rsidRPr="00BA17B9">
        <w:rPr>
          <w:rFonts w:ascii="Times New Roman" w:hAnsi="Times New Roman" w:cs="Times New Roman"/>
          <w:sz w:val="24"/>
          <w:szCs w:val="24"/>
        </w:rPr>
        <w:t>2,2</w:t>
      </w:r>
      <w:r w:rsidR="00FE5B31" w:rsidRPr="00BA17B9">
        <w:rPr>
          <w:rFonts w:ascii="Times New Roman" w:hAnsi="Times New Roman" w:cs="Times New Roman"/>
          <w:sz w:val="24"/>
          <w:szCs w:val="24"/>
        </w:rPr>
        <w:t xml:space="preserve"> </w:t>
      </w:r>
      <w:r w:rsidRPr="00BA17B9">
        <w:rPr>
          <w:rFonts w:ascii="Times New Roman" w:hAnsi="Times New Roman" w:cs="Times New Roman"/>
          <w:sz w:val="24"/>
          <w:szCs w:val="24"/>
        </w:rPr>
        <w:t>%).</w:t>
      </w:r>
      <w:r w:rsidR="00D80DC1" w:rsidRPr="00BA17B9">
        <w:rPr>
          <w:rFonts w:ascii="Times New Roman" w:hAnsi="Times New Roman" w:cs="Times New Roman"/>
          <w:sz w:val="24"/>
          <w:szCs w:val="24"/>
        </w:rPr>
        <w:t xml:space="preserve"> </w:t>
      </w:r>
      <w:r w:rsidR="00655541" w:rsidRPr="00BA17B9">
        <w:rPr>
          <w:rFonts w:ascii="Times New Roman" w:hAnsi="Times New Roman" w:cs="Times New Roman"/>
          <w:sz w:val="24"/>
          <w:szCs w:val="24"/>
        </w:rPr>
        <w:t xml:space="preserve">Tudi </w:t>
      </w:r>
      <w:r w:rsidR="00817B6C" w:rsidRPr="00BA17B9">
        <w:rPr>
          <w:rFonts w:ascii="Times New Roman" w:hAnsi="Times New Roman" w:cs="Times New Roman"/>
          <w:sz w:val="24"/>
          <w:szCs w:val="24"/>
        </w:rPr>
        <w:t xml:space="preserve">delež </w:t>
      </w:r>
      <w:r w:rsidR="00655541" w:rsidRPr="00BA17B9">
        <w:rPr>
          <w:rFonts w:ascii="Times New Roman" w:hAnsi="Times New Roman" w:cs="Times New Roman"/>
          <w:sz w:val="24"/>
          <w:szCs w:val="24"/>
        </w:rPr>
        <w:t xml:space="preserve">zaposlenih </w:t>
      </w:r>
      <w:r w:rsidR="00817B6C" w:rsidRPr="00BA17B9">
        <w:rPr>
          <w:rFonts w:ascii="Times New Roman" w:hAnsi="Times New Roman" w:cs="Times New Roman"/>
          <w:sz w:val="24"/>
          <w:szCs w:val="24"/>
        </w:rPr>
        <w:t>v zadrugah v ZDA</w:t>
      </w:r>
      <w:r w:rsidR="0026582C" w:rsidRPr="00BA17B9">
        <w:rPr>
          <w:rFonts w:ascii="Times New Roman" w:hAnsi="Times New Roman" w:cs="Times New Roman"/>
          <w:sz w:val="24"/>
          <w:szCs w:val="24"/>
        </w:rPr>
        <w:t xml:space="preserve"> (okoli 0,</w:t>
      </w:r>
      <w:r w:rsidR="00E940B5" w:rsidRPr="00BA17B9">
        <w:rPr>
          <w:rFonts w:ascii="Times New Roman" w:hAnsi="Times New Roman" w:cs="Times New Roman"/>
          <w:sz w:val="24"/>
          <w:szCs w:val="24"/>
        </w:rPr>
        <w:t>59</w:t>
      </w:r>
      <w:r w:rsidR="00FE5B31" w:rsidRPr="00BA17B9">
        <w:rPr>
          <w:rFonts w:ascii="Times New Roman" w:hAnsi="Times New Roman" w:cs="Times New Roman"/>
          <w:sz w:val="24"/>
          <w:szCs w:val="24"/>
        </w:rPr>
        <w:t xml:space="preserve"> </w:t>
      </w:r>
      <w:r w:rsidR="0026582C" w:rsidRPr="00BA17B9">
        <w:rPr>
          <w:rFonts w:ascii="Times New Roman" w:hAnsi="Times New Roman" w:cs="Times New Roman"/>
          <w:sz w:val="24"/>
          <w:szCs w:val="24"/>
        </w:rPr>
        <w:t>%)</w:t>
      </w:r>
      <w:r w:rsidR="00817B6C" w:rsidRPr="00BA17B9">
        <w:rPr>
          <w:rFonts w:ascii="Times New Roman" w:hAnsi="Times New Roman" w:cs="Times New Roman"/>
          <w:sz w:val="24"/>
          <w:szCs w:val="24"/>
        </w:rPr>
        <w:t xml:space="preserve"> je večji</w:t>
      </w:r>
      <w:r w:rsidR="00FE5B31" w:rsidRPr="00BA17B9">
        <w:rPr>
          <w:rFonts w:ascii="Times New Roman" w:hAnsi="Times New Roman" w:cs="Times New Roman"/>
          <w:sz w:val="24"/>
          <w:szCs w:val="24"/>
        </w:rPr>
        <w:t>,</w:t>
      </w:r>
      <w:r w:rsidR="00817B6C" w:rsidRPr="00BA17B9">
        <w:rPr>
          <w:rFonts w:ascii="Times New Roman" w:hAnsi="Times New Roman" w:cs="Times New Roman"/>
          <w:sz w:val="24"/>
          <w:szCs w:val="24"/>
        </w:rPr>
        <w:t xml:space="preserve"> kot je delež zaposlenih </w:t>
      </w:r>
      <w:r w:rsidR="00FE5B31" w:rsidRPr="00BA17B9">
        <w:rPr>
          <w:rFonts w:ascii="Times New Roman" w:hAnsi="Times New Roman" w:cs="Times New Roman"/>
          <w:sz w:val="24"/>
          <w:szCs w:val="24"/>
        </w:rPr>
        <w:t xml:space="preserve">v zadrugah </w:t>
      </w:r>
      <w:r w:rsidR="00817B6C" w:rsidRPr="00BA17B9">
        <w:rPr>
          <w:rFonts w:ascii="Times New Roman" w:hAnsi="Times New Roman" w:cs="Times New Roman"/>
          <w:sz w:val="24"/>
          <w:szCs w:val="24"/>
        </w:rPr>
        <w:t xml:space="preserve">v Sloveniji </w:t>
      </w:r>
      <w:r w:rsidR="0026582C" w:rsidRPr="00BA17B9">
        <w:rPr>
          <w:rFonts w:ascii="Times New Roman" w:hAnsi="Times New Roman" w:cs="Times New Roman"/>
          <w:sz w:val="24"/>
          <w:szCs w:val="24"/>
        </w:rPr>
        <w:t>(okoli 0,35</w:t>
      </w:r>
      <w:r w:rsidR="00FE5B31" w:rsidRPr="00BA17B9">
        <w:rPr>
          <w:rFonts w:ascii="Times New Roman" w:hAnsi="Times New Roman" w:cs="Times New Roman"/>
          <w:sz w:val="24"/>
          <w:szCs w:val="24"/>
        </w:rPr>
        <w:t xml:space="preserve"> </w:t>
      </w:r>
      <w:r w:rsidR="0026582C" w:rsidRPr="00BA17B9">
        <w:rPr>
          <w:rFonts w:ascii="Times New Roman" w:hAnsi="Times New Roman" w:cs="Times New Roman"/>
          <w:sz w:val="24"/>
          <w:szCs w:val="24"/>
        </w:rPr>
        <w:t>%)</w:t>
      </w:r>
      <w:r w:rsidR="00817B6C" w:rsidRPr="00BA17B9">
        <w:rPr>
          <w:rFonts w:ascii="Times New Roman" w:hAnsi="Times New Roman" w:cs="Times New Roman"/>
          <w:sz w:val="24"/>
          <w:szCs w:val="24"/>
        </w:rPr>
        <w:t xml:space="preserve">. </w:t>
      </w:r>
      <w:r w:rsidR="00067732" w:rsidRPr="00BA17B9">
        <w:rPr>
          <w:rFonts w:ascii="Times New Roman" w:hAnsi="Times New Roman" w:cs="Times New Roman"/>
          <w:sz w:val="24"/>
          <w:szCs w:val="24"/>
        </w:rPr>
        <w:t>Podatkov o ekonomskem vplivu (</w:t>
      </w:r>
      <w:r w:rsidR="00FE5B31" w:rsidRPr="00BA17B9">
        <w:rPr>
          <w:rFonts w:ascii="Times New Roman" w:hAnsi="Times New Roman" w:cs="Times New Roman"/>
          <w:sz w:val="24"/>
          <w:szCs w:val="24"/>
        </w:rPr>
        <w:t>angl.</w:t>
      </w:r>
      <w:r w:rsidR="009B258B">
        <w:rPr>
          <w:rFonts w:ascii="Times New Roman" w:hAnsi="Times New Roman" w:cs="Times New Roman"/>
          <w:sz w:val="24"/>
          <w:szCs w:val="24"/>
        </w:rPr>
        <w:t xml:space="preserve"> </w:t>
      </w:r>
      <w:r w:rsidR="009B258B" w:rsidRPr="00BA17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economic</w:t>
      </w:r>
      <w:r w:rsidR="00FE5B31" w:rsidRPr="00BA1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7732" w:rsidRPr="00BA17B9">
        <w:rPr>
          <w:rFonts w:ascii="Times New Roman" w:hAnsi="Times New Roman" w:cs="Times New Roman"/>
          <w:i/>
          <w:sz w:val="24"/>
          <w:szCs w:val="24"/>
        </w:rPr>
        <w:t>impact</w:t>
      </w:r>
      <w:r w:rsidR="00067732" w:rsidRPr="00BA17B9">
        <w:rPr>
          <w:rFonts w:ascii="Times New Roman" w:hAnsi="Times New Roman" w:cs="Times New Roman"/>
          <w:sz w:val="24"/>
          <w:szCs w:val="24"/>
        </w:rPr>
        <w:t>) zadrug na ekonomijo v Sloveniji žal ni, tako da jih ne moramo primerjati s podatki iz ZDA.</w:t>
      </w:r>
      <w:r w:rsidR="005E60F2" w:rsidRPr="00BA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9C" w:rsidRPr="004636C0" w:rsidRDefault="00505B9C" w:rsidP="00BA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6C0" w:rsidRPr="004636C0" w:rsidRDefault="004636C0" w:rsidP="00BA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C0">
        <w:rPr>
          <w:rFonts w:ascii="Times New Roman" w:hAnsi="Times New Roman" w:cs="Times New Roman"/>
          <w:b/>
          <w:sz w:val="24"/>
          <w:szCs w:val="24"/>
        </w:rPr>
        <w:t>Delavsko delničarstvo v ZDA</w:t>
      </w:r>
    </w:p>
    <w:p w:rsidR="004636C0" w:rsidRPr="00BA17B9" w:rsidRDefault="004636C0" w:rsidP="00BA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8C" w:rsidRPr="00D53F57" w:rsidRDefault="00111F59" w:rsidP="00D5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B9">
        <w:rPr>
          <w:rFonts w:ascii="Times New Roman" w:hAnsi="Times New Roman" w:cs="Times New Roman"/>
          <w:sz w:val="24"/>
          <w:szCs w:val="24"/>
        </w:rPr>
        <w:t xml:space="preserve">Moramo se zavedati, da v ZDA </w:t>
      </w:r>
      <w:r w:rsidR="00FE5B31" w:rsidRPr="00BA17B9">
        <w:rPr>
          <w:rFonts w:ascii="Times New Roman" w:hAnsi="Times New Roman" w:cs="Times New Roman"/>
          <w:sz w:val="24"/>
          <w:szCs w:val="24"/>
        </w:rPr>
        <w:t xml:space="preserve">obstaja </w:t>
      </w:r>
      <w:r w:rsidR="00D218EF" w:rsidRPr="00BA17B9">
        <w:rPr>
          <w:rFonts w:ascii="Times New Roman" w:hAnsi="Times New Roman" w:cs="Times New Roman"/>
          <w:sz w:val="24"/>
          <w:szCs w:val="24"/>
        </w:rPr>
        <w:t xml:space="preserve">še </w:t>
      </w:r>
      <w:r w:rsidR="00FF0BF8" w:rsidRPr="00BA17B9">
        <w:rPr>
          <w:rFonts w:ascii="Times New Roman" w:hAnsi="Times New Roman" w:cs="Times New Roman"/>
          <w:sz w:val="24"/>
          <w:szCs w:val="24"/>
        </w:rPr>
        <w:t xml:space="preserve">ena </w:t>
      </w:r>
      <w:r w:rsidR="00D218EF" w:rsidRPr="00BA17B9">
        <w:rPr>
          <w:rFonts w:ascii="Times New Roman" w:hAnsi="Times New Roman" w:cs="Times New Roman"/>
          <w:sz w:val="24"/>
          <w:szCs w:val="24"/>
        </w:rPr>
        <w:t xml:space="preserve">oblika ekonomske demokracije in delavskega (so)lastništva, in sicer </w:t>
      </w:r>
      <w:r w:rsidR="00FE5B31" w:rsidRPr="00BA17B9">
        <w:rPr>
          <w:rFonts w:ascii="Times New Roman" w:hAnsi="Times New Roman" w:cs="Times New Roman"/>
          <w:sz w:val="24"/>
          <w:szCs w:val="24"/>
        </w:rPr>
        <w:t xml:space="preserve">podjetje </w:t>
      </w:r>
      <w:r w:rsidR="00BC3140" w:rsidRPr="00BA17B9">
        <w:rPr>
          <w:rFonts w:ascii="Times New Roman" w:hAnsi="Times New Roman" w:cs="Times New Roman"/>
          <w:sz w:val="24"/>
          <w:szCs w:val="24"/>
        </w:rPr>
        <w:t xml:space="preserve">s </w:t>
      </w:r>
      <w:r w:rsidR="00D218EF" w:rsidRPr="00952075">
        <w:rPr>
          <w:rFonts w:ascii="Times New Roman" w:hAnsi="Times New Roman" w:cs="Times New Roman"/>
          <w:b/>
          <w:i/>
          <w:sz w:val="24"/>
          <w:szCs w:val="24"/>
        </w:rPr>
        <w:t>t.</w:t>
      </w:r>
      <w:r w:rsidR="00FE5B31" w:rsidRPr="00952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18EF" w:rsidRPr="00952075">
        <w:rPr>
          <w:rFonts w:ascii="Times New Roman" w:hAnsi="Times New Roman" w:cs="Times New Roman"/>
          <w:b/>
          <w:i/>
          <w:sz w:val="24"/>
          <w:szCs w:val="24"/>
        </w:rPr>
        <w:t>i. Employee Stock Ownership Plans</w:t>
      </w:r>
      <w:r w:rsidR="00FB3E3F" w:rsidRPr="00952075">
        <w:rPr>
          <w:rFonts w:ascii="Times New Roman" w:hAnsi="Times New Roman" w:cs="Times New Roman"/>
          <w:b/>
          <w:i/>
          <w:sz w:val="24"/>
          <w:szCs w:val="24"/>
        </w:rPr>
        <w:t xml:space="preserve"> (ESOP</w:t>
      </w:r>
      <w:r w:rsidR="00FE5B31" w:rsidRPr="0095207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E5B31" w:rsidRPr="00BA17B9">
        <w:rPr>
          <w:rFonts w:ascii="Times New Roman" w:hAnsi="Times New Roman" w:cs="Times New Roman"/>
          <w:sz w:val="24"/>
          <w:szCs w:val="24"/>
        </w:rPr>
        <w:t xml:space="preserve">. Gre </w:t>
      </w:r>
      <w:r w:rsidR="00EC4D32" w:rsidRPr="00BA17B9">
        <w:rPr>
          <w:rFonts w:ascii="Times New Roman" w:hAnsi="Times New Roman" w:cs="Times New Roman"/>
          <w:sz w:val="24"/>
          <w:szCs w:val="24"/>
        </w:rPr>
        <w:t>za</w:t>
      </w:r>
      <w:r w:rsidR="00E6528B" w:rsidRPr="00BA17B9">
        <w:rPr>
          <w:rFonts w:ascii="Times New Roman" w:hAnsi="Times New Roman" w:cs="Times New Roman"/>
          <w:sz w:val="24"/>
          <w:szCs w:val="24"/>
        </w:rPr>
        <w:t xml:space="preserve"> poseben</w:t>
      </w:r>
      <w:r w:rsidR="00EC4D32" w:rsidRPr="00BA17B9">
        <w:rPr>
          <w:rFonts w:ascii="Times New Roman" w:hAnsi="Times New Roman" w:cs="Times New Roman"/>
          <w:sz w:val="24"/>
          <w:szCs w:val="24"/>
        </w:rPr>
        <w:t xml:space="preserve"> </w:t>
      </w:r>
      <w:r w:rsidR="0099223C" w:rsidRPr="00BA17B9">
        <w:rPr>
          <w:rFonts w:ascii="Times New Roman" w:hAnsi="Times New Roman" w:cs="Times New Roman"/>
          <w:sz w:val="24"/>
          <w:szCs w:val="24"/>
        </w:rPr>
        <w:t>sklad del</w:t>
      </w:r>
      <w:r w:rsidR="002E37AB" w:rsidRPr="00BA17B9">
        <w:rPr>
          <w:rFonts w:ascii="Times New Roman" w:hAnsi="Times New Roman" w:cs="Times New Roman"/>
          <w:sz w:val="24"/>
          <w:szCs w:val="24"/>
        </w:rPr>
        <w:t>a</w:t>
      </w:r>
      <w:r w:rsidR="0099223C" w:rsidRPr="00BA17B9">
        <w:rPr>
          <w:rFonts w:ascii="Times New Roman" w:hAnsi="Times New Roman" w:cs="Times New Roman"/>
          <w:sz w:val="24"/>
          <w:szCs w:val="24"/>
        </w:rPr>
        <w:t>vskega delničarstva</w:t>
      </w:r>
      <w:r w:rsidR="00E6528B" w:rsidRPr="00BA17B9">
        <w:rPr>
          <w:rFonts w:ascii="Times New Roman" w:hAnsi="Times New Roman" w:cs="Times New Roman"/>
          <w:sz w:val="24"/>
          <w:szCs w:val="24"/>
        </w:rPr>
        <w:t xml:space="preserve"> v okviru posameznega podjetja</w:t>
      </w:r>
      <w:r w:rsidR="00FB3E3F" w:rsidRPr="00BA17B9">
        <w:rPr>
          <w:rFonts w:ascii="Times New Roman" w:hAnsi="Times New Roman" w:cs="Times New Roman"/>
          <w:sz w:val="24"/>
          <w:szCs w:val="24"/>
        </w:rPr>
        <w:t xml:space="preserve">. </w:t>
      </w:r>
      <w:r w:rsidR="00FE5B31" w:rsidRPr="00BA17B9">
        <w:rPr>
          <w:rFonts w:ascii="Times New Roman" w:hAnsi="Times New Roman" w:cs="Times New Roman"/>
          <w:sz w:val="24"/>
          <w:szCs w:val="24"/>
        </w:rPr>
        <w:t>P</w:t>
      </w:r>
      <w:r w:rsidR="00FB3E3F" w:rsidRPr="00BA17B9">
        <w:rPr>
          <w:rFonts w:ascii="Times New Roman" w:hAnsi="Times New Roman" w:cs="Times New Roman"/>
          <w:sz w:val="24"/>
          <w:szCs w:val="24"/>
        </w:rPr>
        <w:t xml:space="preserve">odjetij </w:t>
      </w:r>
      <w:r w:rsidR="00FE5B31" w:rsidRPr="00BA17B9">
        <w:rPr>
          <w:rFonts w:ascii="Times New Roman" w:hAnsi="Times New Roman" w:cs="Times New Roman"/>
          <w:sz w:val="24"/>
          <w:szCs w:val="24"/>
        </w:rPr>
        <w:t xml:space="preserve">tega tipa </w:t>
      </w:r>
      <w:r w:rsidR="00FB3E3F" w:rsidRPr="00BA17B9">
        <w:rPr>
          <w:rFonts w:ascii="Times New Roman" w:hAnsi="Times New Roman" w:cs="Times New Roman"/>
          <w:sz w:val="24"/>
          <w:szCs w:val="24"/>
        </w:rPr>
        <w:t xml:space="preserve">je v ZDA </w:t>
      </w:r>
      <w:r w:rsidR="00FB3E3F" w:rsidRPr="00952075">
        <w:rPr>
          <w:rFonts w:ascii="Times New Roman" w:hAnsi="Times New Roman" w:cs="Times New Roman"/>
          <w:b/>
          <w:sz w:val="24"/>
          <w:szCs w:val="24"/>
        </w:rPr>
        <w:t>okoli 11.000</w:t>
      </w:r>
      <w:r w:rsidR="00FE5B31" w:rsidRPr="00952075">
        <w:rPr>
          <w:rFonts w:ascii="Times New Roman" w:hAnsi="Times New Roman" w:cs="Times New Roman"/>
          <w:b/>
          <w:sz w:val="24"/>
          <w:szCs w:val="24"/>
        </w:rPr>
        <w:t>,</w:t>
      </w:r>
      <w:r w:rsidR="00FB3E3F" w:rsidRPr="00952075">
        <w:rPr>
          <w:rFonts w:ascii="Times New Roman" w:hAnsi="Times New Roman" w:cs="Times New Roman"/>
          <w:b/>
          <w:sz w:val="24"/>
          <w:szCs w:val="24"/>
        </w:rPr>
        <w:t xml:space="preserve"> zaposlujejo </w:t>
      </w:r>
      <w:r w:rsidR="00FE5B31" w:rsidRPr="00952075">
        <w:rPr>
          <w:rFonts w:ascii="Times New Roman" w:hAnsi="Times New Roman" w:cs="Times New Roman"/>
          <w:b/>
          <w:sz w:val="24"/>
          <w:szCs w:val="24"/>
        </w:rPr>
        <w:t xml:space="preserve">pa </w:t>
      </w:r>
      <w:r w:rsidR="00FB3E3F" w:rsidRPr="00952075">
        <w:rPr>
          <w:rFonts w:ascii="Times New Roman" w:hAnsi="Times New Roman" w:cs="Times New Roman"/>
          <w:b/>
          <w:sz w:val="24"/>
          <w:szCs w:val="24"/>
        </w:rPr>
        <w:t>okoli 11,5 milijona ljudi.</w:t>
      </w:r>
    </w:p>
    <w:sectPr w:rsidR="007C128C" w:rsidRPr="00D53F57" w:rsidSect="0017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5D"/>
    <w:rsid w:val="00007481"/>
    <w:rsid w:val="00015F3E"/>
    <w:rsid w:val="00025F96"/>
    <w:rsid w:val="00044982"/>
    <w:rsid w:val="00053B4B"/>
    <w:rsid w:val="00060C21"/>
    <w:rsid w:val="00061906"/>
    <w:rsid w:val="00067732"/>
    <w:rsid w:val="000928CB"/>
    <w:rsid w:val="000A2DFB"/>
    <w:rsid w:val="000B50AC"/>
    <w:rsid w:val="000D2696"/>
    <w:rsid w:val="000E5BB5"/>
    <w:rsid w:val="000F7996"/>
    <w:rsid w:val="00111F59"/>
    <w:rsid w:val="00113E5D"/>
    <w:rsid w:val="00135044"/>
    <w:rsid w:val="00142F12"/>
    <w:rsid w:val="00147A1F"/>
    <w:rsid w:val="0015479D"/>
    <w:rsid w:val="00154F37"/>
    <w:rsid w:val="001551F1"/>
    <w:rsid w:val="00157B3B"/>
    <w:rsid w:val="00167FC2"/>
    <w:rsid w:val="001718BC"/>
    <w:rsid w:val="001979C3"/>
    <w:rsid w:val="001D7A1C"/>
    <w:rsid w:val="00215F6D"/>
    <w:rsid w:val="0022187E"/>
    <w:rsid w:val="00230B3F"/>
    <w:rsid w:val="002465BF"/>
    <w:rsid w:val="0026582C"/>
    <w:rsid w:val="00267831"/>
    <w:rsid w:val="002C0B65"/>
    <w:rsid w:val="002C22A9"/>
    <w:rsid w:val="002D0DF9"/>
    <w:rsid w:val="002D4A96"/>
    <w:rsid w:val="002E1160"/>
    <w:rsid w:val="002E37AB"/>
    <w:rsid w:val="0032652C"/>
    <w:rsid w:val="00343AA1"/>
    <w:rsid w:val="00356F41"/>
    <w:rsid w:val="00383E6F"/>
    <w:rsid w:val="003A7BDA"/>
    <w:rsid w:val="003C655B"/>
    <w:rsid w:val="003E12A9"/>
    <w:rsid w:val="003F571E"/>
    <w:rsid w:val="003F72F4"/>
    <w:rsid w:val="003F768F"/>
    <w:rsid w:val="00400FD7"/>
    <w:rsid w:val="00422696"/>
    <w:rsid w:val="00435E62"/>
    <w:rsid w:val="0045191F"/>
    <w:rsid w:val="00457F19"/>
    <w:rsid w:val="004636C0"/>
    <w:rsid w:val="0048237F"/>
    <w:rsid w:val="00494F63"/>
    <w:rsid w:val="004D5F78"/>
    <w:rsid w:val="004D69BA"/>
    <w:rsid w:val="004D7D5D"/>
    <w:rsid w:val="004F3B77"/>
    <w:rsid w:val="00505B9C"/>
    <w:rsid w:val="00517223"/>
    <w:rsid w:val="00552F93"/>
    <w:rsid w:val="00553088"/>
    <w:rsid w:val="00566FD0"/>
    <w:rsid w:val="00581F75"/>
    <w:rsid w:val="005B47C9"/>
    <w:rsid w:val="005B6055"/>
    <w:rsid w:val="005E2489"/>
    <w:rsid w:val="005E60F2"/>
    <w:rsid w:val="006006DE"/>
    <w:rsid w:val="00616480"/>
    <w:rsid w:val="00620AC4"/>
    <w:rsid w:val="00637DF6"/>
    <w:rsid w:val="006456EC"/>
    <w:rsid w:val="00655541"/>
    <w:rsid w:val="006B645A"/>
    <w:rsid w:val="006E2CBF"/>
    <w:rsid w:val="007953F5"/>
    <w:rsid w:val="007A2D93"/>
    <w:rsid w:val="007C128C"/>
    <w:rsid w:val="007E1B47"/>
    <w:rsid w:val="007E7E17"/>
    <w:rsid w:val="007F27EA"/>
    <w:rsid w:val="007F2E1A"/>
    <w:rsid w:val="00817B6C"/>
    <w:rsid w:val="008270A8"/>
    <w:rsid w:val="00895AEC"/>
    <w:rsid w:val="008A6EF0"/>
    <w:rsid w:val="008B2BC6"/>
    <w:rsid w:val="00903054"/>
    <w:rsid w:val="00903097"/>
    <w:rsid w:val="00922FD5"/>
    <w:rsid w:val="00932D3E"/>
    <w:rsid w:val="0094493E"/>
    <w:rsid w:val="00950147"/>
    <w:rsid w:val="00952075"/>
    <w:rsid w:val="009729F3"/>
    <w:rsid w:val="0099223C"/>
    <w:rsid w:val="00992DC2"/>
    <w:rsid w:val="009B258B"/>
    <w:rsid w:val="009E30B0"/>
    <w:rsid w:val="00A46B87"/>
    <w:rsid w:val="00A87D68"/>
    <w:rsid w:val="00A96A82"/>
    <w:rsid w:val="00AA72B5"/>
    <w:rsid w:val="00AB0256"/>
    <w:rsid w:val="00AF2650"/>
    <w:rsid w:val="00B14856"/>
    <w:rsid w:val="00B66B64"/>
    <w:rsid w:val="00B77F3F"/>
    <w:rsid w:val="00BA17B9"/>
    <w:rsid w:val="00BB40F9"/>
    <w:rsid w:val="00BC3140"/>
    <w:rsid w:val="00BD3F62"/>
    <w:rsid w:val="00BD6676"/>
    <w:rsid w:val="00BF6B64"/>
    <w:rsid w:val="00C45A34"/>
    <w:rsid w:val="00C639E0"/>
    <w:rsid w:val="00C77953"/>
    <w:rsid w:val="00C93FFF"/>
    <w:rsid w:val="00C96AC5"/>
    <w:rsid w:val="00CA3C24"/>
    <w:rsid w:val="00CC2F5B"/>
    <w:rsid w:val="00CC326B"/>
    <w:rsid w:val="00CE17F3"/>
    <w:rsid w:val="00CF7C80"/>
    <w:rsid w:val="00D04887"/>
    <w:rsid w:val="00D218EF"/>
    <w:rsid w:val="00D23AB1"/>
    <w:rsid w:val="00D25B62"/>
    <w:rsid w:val="00D53F57"/>
    <w:rsid w:val="00D577F3"/>
    <w:rsid w:val="00D64BD4"/>
    <w:rsid w:val="00D80DC1"/>
    <w:rsid w:val="00DD7687"/>
    <w:rsid w:val="00DE3907"/>
    <w:rsid w:val="00E26A08"/>
    <w:rsid w:val="00E41AF5"/>
    <w:rsid w:val="00E42615"/>
    <w:rsid w:val="00E6407E"/>
    <w:rsid w:val="00E6528B"/>
    <w:rsid w:val="00E81223"/>
    <w:rsid w:val="00E940B5"/>
    <w:rsid w:val="00EB5FF1"/>
    <w:rsid w:val="00EB7A75"/>
    <w:rsid w:val="00EC4D32"/>
    <w:rsid w:val="00F0230A"/>
    <w:rsid w:val="00F049E1"/>
    <w:rsid w:val="00F12FA7"/>
    <w:rsid w:val="00F16A66"/>
    <w:rsid w:val="00F324E0"/>
    <w:rsid w:val="00F4733A"/>
    <w:rsid w:val="00F558E0"/>
    <w:rsid w:val="00F7735D"/>
    <w:rsid w:val="00F834BF"/>
    <w:rsid w:val="00FB1FAD"/>
    <w:rsid w:val="00FB3E3F"/>
    <w:rsid w:val="00FD1E58"/>
    <w:rsid w:val="00FD7066"/>
    <w:rsid w:val="00FE5B31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1FD89-6E4B-4E25-B853-4D9B2A8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0E73-9551-42B2-A521-511F3498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Lojze B.</cp:lastModifiedBy>
  <cp:revision>13</cp:revision>
  <dcterms:created xsi:type="dcterms:W3CDTF">2015-02-21T10:42:00Z</dcterms:created>
  <dcterms:modified xsi:type="dcterms:W3CDTF">2015-02-21T10:57:00Z</dcterms:modified>
</cp:coreProperties>
</file>